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47F" w:rsidRPr="00D01E18" w:rsidRDefault="00F9628D" w:rsidP="003270FE">
      <w:pPr>
        <w:jc w:val="both"/>
        <w:rPr>
          <w:b/>
          <w:sz w:val="36"/>
        </w:rPr>
      </w:pPr>
      <w:r w:rsidRPr="00D01E18">
        <w:rPr>
          <w:b/>
          <w:sz w:val="36"/>
        </w:rPr>
        <w:t>The Selling Process</w:t>
      </w:r>
    </w:p>
    <w:p w:rsidR="00D01E18" w:rsidRDefault="00D01E18" w:rsidP="003270FE">
      <w:pPr>
        <w:jc w:val="both"/>
      </w:pPr>
    </w:p>
    <w:p w:rsidR="00F9628D" w:rsidRDefault="00F9628D" w:rsidP="003270FE">
      <w:pPr>
        <w:jc w:val="both"/>
      </w:pPr>
      <w:r>
        <w:t>The school of in sales management is widely divided between the idea of sales as an art and the idea of sales as a scientific technique. Many sales managers subscribe to the idea of selling as an arty, which they learned better than others. The trainers in the area of sales believe that people can be scientifically trained in the process of sales. But both the schools agree that selling follows a process or sequence that can be planned.</w:t>
      </w:r>
    </w:p>
    <w:p w:rsidR="00704157" w:rsidRDefault="00FA3227" w:rsidP="003270FE">
      <w:pPr>
        <w:jc w:val="both"/>
      </w:pPr>
      <w:r>
        <w:t xml:space="preserve">But it should be kept in mind that all kind of selling doesn’t necessarily follow sequence of steps described here. Similarly, the significance of different steps of the selling process vary depending on the product or service that is being sold, </w:t>
      </w:r>
      <w:r w:rsidR="006E6780">
        <w:t xml:space="preserve">the stage of the product in product life cycle, the nature and speed of innovation in the industry and the payment procedures involved in the business. In mature industries, sales people have to face more objections on the issues related to pricing, whereas, in an emerging industry such as information technology, the majority of </w:t>
      </w:r>
      <w:r w:rsidR="006B3FB4">
        <w:t>customer’s</w:t>
      </w:r>
      <w:r w:rsidR="006E6780">
        <w:t xml:space="preserve"> complaints will be about adaptability of the technology to their relevant work environment.</w:t>
      </w:r>
      <w:r w:rsidR="00F67ABC">
        <w:t xml:space="preserve"> </w:t>
      </w:r>
      <w:r w:rsidR="00704157">
        <w:t>The following table explains the different types of selling scenarios and their distinguishing characteristics.</w:t>
      </w:r>
    </w:p>
    <w:tbl>
      <w:tblPr>
        <w:tblStyle w:val="TableGrid"/>
        <w:tblW w:w="0" w:type="auto"/>
        <w:tblLook w:val="04A0"/>
      </w:tblPr>
      <w:tblGrid>
        <w:gridCol w:w="1998"/>
        <w:gridCol w:w="1800"/>
        <w:gridCol w:w="5778"/>
      </w:tblGrid>
      <w:tr w:rsidR="00C45B13" w:rsidTr="00F15A4F">
        <w:tc>
          <w:tcPr>
            <w:tcW w:w="1998" w:type="dxa"/>
          </w:tcPr>
          <w:p w:rsidR="00C45B13" w:rsidRDefault="00C45B13" w:rsidP="003270FE">
            <w:pPr>
              <w:jc w:val="both"/>
            </w:pPr>
            <w:r>
              <w:t>Scenario</w:t>
            </w:r>
          </w:p>
        </w:tc>
        <w:tc>
          <w:tcPr>
            <w:tcW w:w="1800" w:type="dxa"/>
          </w:tcPr>
          <w:p w:rsidR="00C45B13" w:rsidRDefault="00C45B13" w:rsidP="003270FE">
            <w:pPr>
              <w:jc w:val="both"/>
            </w:pPr>
            <w:r>
              <w:t>Example</w:t>
            </w:r>
          </w:p>
        </w:tc>
        <w:tc>
          <w:tcPr>
            <w:tcW w:w="5778" w:type="dxa"/>
          </w:tcPr>
          <w:p w:rsidR="00C45B13" w:rsidRDefault="00C45B13" w:rsidP="003270FE">
            <w:pPr>
              <w:jc w:val="both"/>
            </w:pPr>
            <w:r>
              <w:t>Characteristic</w:t>
            </w:r>
          </w:p>
        </w:tc>
      </w:tr>
      <w:tr w:rsidR="00C45B13" w:rsidTr="00F15A4F">
        <w:tc>
          <w:tcPr>
            <w:tcW w:w="1998" w:type="dxa"/>
          </w:tcPr>
          <w:p w:rsidR="00C45B13" w:rsidRDefault="00C45B13" w:rsidP="003270FE">
            <w:pPr>
              <w:jc w:val="both"/>
            </w:pPr>
            <w:r>
              <w:t>Mature Industries</w:t>
            </w:r>
          </w:p>
        </w:tc>
        <w:tc>
          <w:tcPr>
            <w:tcW w:w="1800" w:type="dxa"/>
          </w:tcPr>
          <w:p w:rsidR="00C45B13" w:rsidRDefault="00C45B13" w:rsidP="003270FE">
            <w:pPr>
              <w:jc w:val="both"/>
            </w:pPr>
            <w:r>
              <w:t>Office Equipment</w:t>
            </w:r>
          </w:p>
        </w:tc>
        <w:tc>
          <w:tcPr>
            <w:tcW w:w="5778" w:type="dxa"/>
          </w:tcPr>
          <w:p w:rsidR="00C45B13" w:rsidRDefault="00C45B13" w:rsidP="003270FE">
            <w:pPr>
              <w:jc w:val="both"/>
            </w:pPr>
            <w:r>
              <w:t>Price Related Objections</w:t>
            </w:r>
          </w:p>
        </w:tc>
      </w:tr>
      <w:tr w:rsidR="00C45B13" w:rsidTr="00F15A4F">
        <w:tc>
          <w:tcPr>
            <w:tcW w:w="1998" w:type="dxa"/>
          </w:tcPr>
          <w:p w:rsidR="00C45B13" w:rsidRDefault="00C45B13" w:rsidP="003270FE">
            <w:pPr>
              <w:jc w:val="both"/>
            </w:pPr>
            <w:r>
              <w:t>Emerging Industries</w:t>
            </w:r>
          </w:p>
        </w:tc>
        <w:tc>
          <w:tcPr>
            <w:tcW w:w="1800" w:type="dxa"/>
          </w:tcPr>
          <w:p w:rsidR="00C45B13" w:rsidRDefault="00C45B13" w:rsidP="003270FE">
            <w:pPr>
              <w:jc w:val="both"/>
            </w:pPr>
            <w:r>
              <w:t>IT</w:t>
            </w:r>
          </w:p>
        </w:tc>
        <w:tc>
          <w:tcPr>
            <w:tcW w:w="5778" w:type="dxa"/>
          </w:tcPr>
          <w:p w:rsidR="00C45B13" w:rsidRDefault="00C45B13" w:rsidP="003270FE">
            <w:pPr>
              <w:jc w:val="both"/>
            </w:pPr>
            <w:r>
              <w:t>Useful and relation to current environment</w:t>
            </w:r>
          </w:p>
        </w:tc>
      </w:tr>
      <w:tr w:rsidR="00C45B13" w:rsidTr="00F15A4F">
        <w:tc>
          <w:tcPr>
            <w:tcW w:w="1998" w:type="dxa"/>
          </w:tcPr>
          <w:p w:rsidR="00C45B13" w:rsidRDefault="0058288E" w:rsidP="003270FE">
            <w:pPr>
              <w:jc w:val="both"/>
            </w:pPr>
            <w:r>
              <w:t>B-2-B Industries</w:t>
            </w:r>
          </w:p>
        </w:tc>
        <w:tc>
          <w:tcPr>
            <w:tcW w:w="1800" w:type="dxa"/>
          </w:tcPr>
          <w:p w:rsidR="00C45B13" w:rsidRDefault="0058288E" w:rsidP="003270FE">
            <w:pPr>
              <w:jc w:val="both"/>
            </w:pPr>
            <w:r>
              <w:t>Office Equipment</w:t>
            </w:r>
          </w:p>
        </w:tc>
        <w:tc>
          <w:tcPr>
            <w:tcW w:w="5778" w:type="dxa"/>
          </w:tcPr>
          <w:p w:rsidR="00C45B13" w:rsidRDefault="00EB34B1" w:rsidP="003270FE">
            <w:pPr>
              <w:jc w:val="both"/>
            </w:pPr>
            <w:r>
              <w:t>Demonstration</w:t>
            </w:r>
          </w:p>
        </w:tc>
      </w:tr>
      <w:tr w:rsidR="00C45B13" w:rsidTr="00F15A4F">
        <w:tc>
          <w:tcPr>
            <w:tcW w:w="1998" w:type="dxa"/>
          </w:tcPr>
          <w:p w:rsidR="00C45B13" w:rsidRDefault="00F15A4F" w:rsidP="003270FE">
            <w:pPr>
              <w:jc w:val="both"/>
            </w:pPr>
            <w:r>
              <w:t>High Tech Consumer Goods</w:t>
            </w:r>
          </w:p>
        </w:tc>
        <w:tc>
          <w:tcPr>
            <w:tcW w:w="1800" w:type="dxa"/>
          </w:tcPr>
          <w:p w:rsidR="00C45B13" w:rsidRDefault="00F15A4F" w:rsidP="003270FE">
            <w:pPr>
              <w:jc w:val="both"/>
            </w:pPr>
            <w:r>
              <w:t>Computers</w:t>
            </w:r>
          </w:p>
        </w:tc>
        <w:tc>
          <w:tcPr>
            <w:tcW w:w="5778" w:type="dxa"/>
          </w:tcPr>
          <w:p w:rsidR="00C45B13" w:rsidRDefault="00F6263A" w:rsidP="003270FE">
            <w:pPr>
              <w:jc w:val="both"/>
            </w:pPr>
            <w:r>
              <w:t>Consumer Education and Knowledge of relevant technology</w:t>
            </w:r>
          </w:p>
        </w:tc>
      </w:tr>
      <w:tr w:rsidR="00C45B13" w:rsidTr="00F15A4F">
        <w:tc>
          <w:tcPr>
            <w:tcW w:w="1998" w:type="dxa"/>
          </w:tcPr>
          <w:p w:rsidR="00C45B13" w:rsidRDefault="00F54324" w:rsidP="003270FE">
            <w:pPr>
              <w:jc w:val="both"/>
            </w:pPr>
            <w:r>
              <w:t>Solution and Service Providers</w:t>
            </w:r>
          </w:p>
        </w:tc>
        <w:tc>
          <w:tcPr>
            <w:tcW w:w="1800" w:type="dxa"/>
          </w:tcPr>
          <w:p w:rsidR="00C45B13" w:rsidRDefault="009744CA" w:rsidP="003270FE">
            <w:pPr>
              <w:jc w:val="both"/>
            </w:pPr>
            <w:r>
              <w:t>Doctor &amp; Interior Designers</w:t>
            </w:r>
          </w:p>
        </w:tc>
        <w:tc>
          <w:tcPr>
            <w:tcW w:w="5778" w:type="dxa"/>
          </w:tcPr>
          <w:p w:rsidR="00C45B13" w:rsidRDefault="00736C6E" w:rsidP="003270FE">
            <w:pPr>
              <w:jc w:val="both"/>
            </w:pPr>
            <w:r>
              <w:t xml:space="preserve">Trust and Establishing Trust Relationships. </w:t>
            </w:r>
          </w:p>
        </w:tc>
      </w:tr>
    </w:tbl>
    <w:p w:rsidR="00B80645" w:rsidRDefault="00B80645" w:rsidP="003270FE">
      <w:pPr>
        <w:jc w:val="both"/>
      </w:pPr>
    </w:p>
    <w:p w:rsidR="00F9628D" w:rsidRPr="00D01E18" w:rsidRDefault="00704157" w:rsidP="003270FE">
      <w:pPr>
        <w:jc w:val="both"/>
        <w:rPr>
          <w:b/>
        </w:rPr>
      </w:pPr>
      <w:r w:rsidRPr="00D01E18">
        <w:rPr>
          <w:b/>
        </w:rPr>
        <w:t xml:space="preserve"> </w:t>
      </w:r>
      <w:r w:rsidR="009D4937" w:rsidRPr="00D01E18">
        <w:rPr>
          <w:b/>
        </w:rPr>
        <w:t>Selling and Sales Process:</w:t>
      </w:r>
    </w:p>
    <w:p w:rsidR="009C70B4" w:rsidRDefault="009D4937" w:rsidP="003270FE">
      <w:pPr>
        <w:jc w:val="both"/>
      </w:pPr>
      <w:r>
        <w:t>Selling has been defined by American Marketing Association as “</w:t>
      </w:r>
      <w:r w:rsidRPr="00393EE5">
        <w:rPr>
          <w:i/>
        </w:rPr>
        <w:t>The personal or impersonal process whereby the salesperson ascertains, activates, and satisfies the needs of the buyer to the mutual, continuous benefit of both buyer and seller</w:t>
      </w:r>
      <w:r>
        <w:t>.”</w:t>
      </w:r>
      <w:r w:rsidR="00B706F8">
        <w:t xml:space="preserve"> Whereas, the sales process can be defined as “</w:t>
      </w:r>
      <w:r w:rsidR="00B706F8" w:rsidRPr="00393EE5">
        <w:rPr>
          <w:i/>
        </w:rPr>
        <w:t>a series of steps followed by a sales person to carry out a sales</w:t>
      </w:r>
      <w:r w:rsidR="00B706F8">
        <w:t>”.</w:t>
      </w:r>
    </w:p>
    <w:p w:rsidR="00B706F8" w:rsidRDefault="00D01E18" w:rsidP="003270FE">
      <w:pPr>
        <w:jc w:val="both"/>
      </w:pPr>
      <w:r>
        <w:t xml:space="preserve">One important misconception is that sales process is mostly concerned with presentation of the product, which is largely wrong. Though presentation is one of the most important part of any sales activity and definitely the most visible one, there are other related activities that necessary for successful sales.  </w:t>
      </w:r>
      <w:r w:rsidR="00B706F8">
        <w:t xml:space="preserve"> </w:t>
      </w:r>
    </w:p>
    <w:p w:rsidR="00F67ABC" w:rsidRDefault="00F67ABC" w:rsidP="003270FE">
      <w:pPr>
        <w:jc w:val="both"/>
      </w:pPr>
      <w:r>
        <w:t>Various scholars have divided the sales process into different steps, but these divisions doesn’t mean that the selling process includes anything different. For the purpose of this lecture we will divide the sales process into the following steps:</w:t>
      </w:r>
    </w:p>
    <w:p w:rsidR="00F67ABC" w:rsidRDefault="00F67ABC" w:rsidP="003270FE">
      <w:pPr>
        <w:pStyle w:val="ListParagraph"/>
        <w:numPr>
          <w:ilvl w:val="0"/>
          <w:numId w:val="1"/>
        </w:numPr>
        <w:jc w:val="both"/>
      </w:pPr>
      <w:r>
        <w:lastRenderedPageBreak/>
        <w:t>Pre Sales Preparation</w:t>
      </w:r>
    </w:p>
    <w:p w:rsidR="00F67ABC" w:rsidRDefault="00F67ABC" w:rsidP="003270FE">
      <w:pPr>
        <w:pStyle w:val="ListParagraph"/>
        <w:numPr>
          <w:ilvl w:val="0"/>
          <w:numId w:val="1"/>
        </w:numPr>
        <w:jc w:val="both"/>
      </w:pPr>
      <w:r>
        <w:t>Prospecting (Identifying and Qualifying Customers)</w:t>
      </w:r>
    </w:p>
    <w:p w:rsidR="00E86322" w:rsidRDefault="00E86322" w:rsidP="003270FE">
      <w:pPr>
        <w:pStyle w:val="ListParagraph"/>
        <w:numPr>
          <w:ilvl w:val="0"/>
          <w:numId w:val="1"/>
        </w:numPr>
        <w:jc w:val="both"/>
      </w:pPr>
      <w:r>
        <w:t>Preparing (Pre-Approach and Call Planning)</w:t>
      </w:r>
    </w:p>
    <w:p w:rsidR="00E86322" w:rsidRDefault="00E86322" w:rsidP="003270FE">
      <w:pPr>
        <w:pStyle w:val="ListParagraph"/>
        <w:numPr>
          <w:ilvl w:val="0"/>
          <w:numId w:val="1"/>
        </w:numPr>
        <w:jc w:val="both"/>
      </w:pPr>
      <w:r>
        <w:t>Presenting (Approach, Probe for Needs and Convincing the Customers)</w:t>
      </w:r>
    </w:p>
    <w:p w:rsidR="007905DC" w:rsidRDefault="007905DC" w:rsidP="003270FE">
      <w:pPr>
        <w:pStyle w:val="ListParagraph"/>
        <w:numPr>
          <w:ilvl w:val="0"/>
          <w:numId w:val="1"/>
        </w:numPr>
        <w:jc w:val="both"/>
      </w:pPr>
      <w:r>
        <w:t>Handling Objections</w:t>
      </w:r>
    </w:p>
    <w:p w:rsidR="002129D4" w:rsidRDefault="002129D4" w:rsidP="003270FE">
      <w:pPr>
        <w:pStyle w:val="ListParagraph"/>
        <w:numPr>
          <w:ilvl w:val="0"/>
          <w:numId w:val="1"/>
        </w:numPr>
        <w:jc w:val="both"/>
      </w:pPr>
      <w:r>
        <w:t>Closing the Sales</w:t>
      </w:r>
    </w:p>
    <w:p w:rsidR="00E336FA" w:rsidRDefault="00CC17A3" w:rsidP="003270FE">
      <w:pPr>
        <w:pStyle w:val="ListParagraph"/>
        <w:numPr>
          <w:ilvl w:val="0"/>
          <w:numId w:val="1"/>
        </w:numPr>
        <w:spacing w:after="0"/>
        <w:jc w:val="both"/>
      </w:pPr>
      <w:r>
        <w:t>Following Up on the Sales</w:t>
      </w:r>
    </w:p>
    <w:p w:rsidR="00E336FA" w:rsidRDefault="00E336FA" w:rsidP="003270FE">
      <w:pPr>
        <w:spacing w:after="0"/>
        <w:jc w:val="both"/>
      </w:pPr>
    </w:p>
    <w:p w:rsidR="00C24358" w:rsidRPr="0030310F" w:rsidRDefault="00E336FA" w:rsidP="00D508E7">
      <w:pPr>
        <w:pStyle w:val="ListParagraph"/>
        <w:numPr>
          <w:ilvl w:val="1"/>
          <w:numId w:val="4"/>
        </w:numPr>
        <w:spacing w:after="0"/>
        <w:jc w:val="both"/>
      </w:pPr>
      <w:r w:rsidRPr="00D508E7">
        <w:rPr>
          <w:b/>
        </w:rPr>
        <w:t>Pre-Sales Preparation:</w:t>
      </w:r>
    </w:p>
    <w:p w:rsidR="0030310F" w:rsidRPr="00D508E7" w:rsidRDefault="0030310F" w:rsidP="0030310F">
      <w:pPr>
        <w:pStyle w:val="ListParagraph"/>
        <w:spacing w:after="0"/>
        <w:ind w:left="360"/>
        <w:jc w:val="both"/>
      </w:pPr>
    </w:p>
    <w:p w:rsidR="00F67ABC" w:rsidRDefault="00887E3D" w:rsidP="003270FE">
      <w:pPr>
        <w:jc w:val="both"/>
      </w:pPr>
      <w:r>
        <w:t xml:space="preserve">The operative term in successful sales career is </w:t>
      </w:r>
      <w:r w:rsidR="00AC1EB5">
        <w:t>“Knowledgeable”. Knowledge about the product, company and competitors helps the sales person feel more confident. This confidence</w:t>
      </w:r>
      <w:r w:rsidR="008E0E62">
        <w:t xml:space="preserve"> helps the sales person to build confidence which in returns becomes the basis of customer’s trust. But most of the time sales people won’t engage in pre sales preparation. There are two reasons for this behavior. First, it is not a very slow paced activity and requires much reading and listening, which can be boring. Second, it doesn’t bring immediate rewards as other activities of the sales process might bring.  </w:t>
      </w:r>
      <w:r w:rsidR="00AC1EB5">
        <w:t xml:space="preserve"> </w:t>
      </w:r>
      <w:r w:rsidR="00F67ABC">
        <w:t xml:space="preserve"> </w:t>
      </w:r>
    </w:p>
    <w:p w:rsidR="003E1DB9" w:rsidRDefault="003E1DB9" w:rsidP="003270FE">
      <w:pPr>
        <w:jc w:val="both"/>
      </w:pPr>
      <w:r>
        <w:t>The different types of information that can be helpful to a sales person can be categorized into the following categories:</w:t>
      </w:r>
    </w:p>
    <w:p w:rsidR="00933EFF" w:rsidRDefault="003E1DB9" w:rsidP="003270FE">
      <w:pPr>
        <w:pStyle w:val="ListParagraph"/>
        <w:numPr>
          <w:ilvl w:val="0"/>
          <w:numId w:val="3"/>
        </w:numPr>
        <w:jc w:val="both"/>
      </w:pPr>
      <w:r>
        <w:t>Product Related Knowledge: The different types of the product and their properties (e.g. different packages of insurance services, credit card facilities), price</w:t>
      </w:r>
      <w:r w:rsidR="005A0CFC">
        <w:t>s and discount policies</w:t>
      </w:r>
      <w:r>
        <w:t>, manufacturing processes and ingredients (e.g Halal Contents, UHT Treatment)</w:t>
      </w:r>
      <w:r w:rsidR="00933EFF">
        <w:t>, distribution channel related information</w:t>
      </w:r>
      <w:r w:rsidR="00753CAF">
        <w:t>, Incoterms</w:t>
      </w:r>
      <w:r w:rsidR="00933EFF">
        <w:t xml:space="preserve"> and warranties and guarantees etc. </w:t>
      </w:r>
      <w:r w:rsidR="009C4454">
        <w:t>This type of information can be gathered through reading company’s literature, meeting co-workers in different departments</w:t>
      </w:r>
      <w:r w:rsidR="002F0D6B">
        <w:t>, talking with senior sales people</w:t>
      </w:r>
      <w:r w:rsidR="009C4454">
        <w:t xml:space="preserve"> and internet. One important feature requirement of this knowledge is to develop product related vocabulary and understanding the individual terms</w:t>
      </w:r>
      <w:r w:rsidR="007F3187">
        <w:t xml:space="preserve">, because the expert buyer may communicate in those terms while the novice customers may be confused by this vocabulary. </w:t>
      </w:r>
    </w:p>
    <w:p w:rsidR="00D92172" w:rsidRDefault="00880D56" w:rsidP="003270FE">
      <w:pPr>
        <w:pStyle w:val="ListParagraph"/>
        <w:numPr>
          <w:ilvl w:val="0"/>
          <w:numId w:val="3"/>
        </w:numPr>
        <w:jc w:val="both"/>
      </w:pPr>
      <w:r>
        <w:t xml:space="preserve">Company Related Knowledge: </w:t>
      </w:r>
      <w:r w:rsidR="00D92172">
        <w:t>It may include history and controversies of the organization, different licensing and certification of the organization,</w:t>
      </w:r>
      <w:r w:rsidR="00236508">
        <w:t xml:space="preserve"> organization’s production capacity,</w:t>
      </w:r>
      <w:r w:rsidR="00D92172">
        <w:t xml:space="preserve">  revenue, number of branches and number of employees, any cause the organization is supporting etc.</w:t>
      </w:r>
      <w:r w:rsidR="002F0D6B">
        <w:t xml:space="preserve"> this knowledge can be gained from company</w:t>
      </w:r>
      <w:r w:rsidR="00DA59FD">
        <w:t>’s literature and talking to senior executives.</w:t>
      </w:r>
      <w:r w:rsidR="002F0D6B">
        <w:t xml:space="preserve"> </w:t>
      </w:r>
    </w:p>
    <w:p w:rsidR="00BF6595" w:rsidRDefault="00842A8D" w:rsidP="003270FE">
      <w:pPr>
        <w:pStyle w:val="ListParagraph"/>
        <w:numPr>
          <w:ilvl w:val="0"/>
          <w:numId w:val="3"/>
        </w:numPr>
        <w:jc w:val="both"/>
      </w:pPr>
      <w:r>
        <w:t xml:space="preserve">Competitor Related Knowledge: </w:t>
      </w:r>
      <w:r w:rsidR="00D92172">
        <w:t xml:space="preserve"> </w:t>
      </w:r>
      <w:r w:rsidR="00B325F0">
        <w:t>This knowledge includes understating the overall structure of the industry (e.g. who is the market leader and who is the follower</w:t>
      </w:r>
      <w:r w:rsidR="00D627E6">
        <w:t>, understanding the difference between local and international firms</w:t>
      </w:r>
      <w:r w:rsidR="00B325F0">
        <w:t>)</w:t>
      </w:r>
      <w:r w:rsidR="00D627E6">
        <w:t xml:space="preserve">, </w:t>
      </w:r>
      <w:r w:rsidR="00BF6595">
        <w:t xml:space="preserve">understanding the major competitors marketing mix. This information can be collected through customers, middlemen, mass media and major marketing events such as trade shows. </w:t>
      </w:r>
    </w:p>
    <w:p w:rsidR="00931FD6" w:rsidRDefault="001720EA" w:rsidP="003270FE">
      <w:pPr>
        <w:pStyle w:val="ListParagraph"/>
        <w:numPr>
          <w:ilvl w:val="0"/>
          <w:numId w:val="3"/>
        </w:numPr>
        <w:jc w:val="both"/>
      </w:pPr>
      <w:r>
        <w:t xml:space="preserve">Environmental Information: This information includes understanding the major social and cultural forces in which the sales will take place (e.g. Sales Persons are encouraged to wear Shalwar Kameez in </w:t>
      </w:r>
      <w:r w:rsidR="008E5521">
        <w:t xml:space="preserve">Para Chinar, while they are encouraged to wear dress pants in Peshawar), </w:t>
      </w:r>
      <w:r w:rsidR="00825D31">
        <w:lastRenderedPageBreak/>
        <w:t>major economic trends and their impact of their sales (e.g. Budget, opening up gawadar port and MFN status to India),</w:t>
      </w:r>
      <w:r w:rsidR="00931FD6">
        <w:t xml:space="preserve"> Technological Changes (e.g. Information Technology, Mass Media Developments). This type of information needs to be updated quite regularly and may need expert opinions. The greatest source for such information is internet. Similarly newspapers, trade and industry magazines, specialized talk shows and discussion of experienced sales persons and executives can be helpful.  </w:t>
      </w:r>
    </w:p>
    <w:p w:rsidR="004D7A05" w:rsidRDefault="002910D1" w:rsidP="003270FE">
      <w:pPr>
        <w:pStyle w:val="ListParagraph"/>
        <w:numPr>
          <w:ilvl w:val="0"/>
          <w:numId w:val="3"/>
        </w:numPr>
        <w:jc w:val="both"/>
      </w:pPr>
      <w:r>
        <w:t xml:space="preserve">Customer Information: Customer Information is of two types. </w:t>
      </w:r>
      <w:r w:rsidR="00714891">
        <w:t xml:space="preserve">The information </w:t>
      </w:r>
      <w:r w:rsidR="004448AF">
        <w:t>that explains the way customers make a purchase decision is called the behavioral correlate, where as</w:t>
      </w:r>
      <w:r w:rsidR="00E57A6A">
        <w:t xml:space="preserve"> the non behavioral correlate information includes socio-demographic and psychographic information about customers and explains their state of being. This information can be collected from </w:t>
      </w:r>
      <w:r w:rsidR="00B51103">
        <w:t xml:space="preserve">industry reports, though formal marketing surveys, from senior sales persons, directly from customers and </w:t>
      </w:r>
      <w:r w:rsidR="00940732">
        <w:t xml:space="preserve">through Introspection. </w:t>
      </w:r>
    </w:p>
    <w:p w:rsidR="00D508E7" w:rsidRDefault="00D508E7" w:rsidP="00D508E7">
      <w:pPr>
        <w:pStyle w:val="ListParagraph"/>
        <w:jc w:val="both"/>
      </w:pPr>
    </w:p>
    <w:p w:rsidR="003E1DB9" w:rsidRDefault="00D508E7" w:rsidP="00D508E7">
      <w:pPr>
        <w:pStyle w:val="ListParagraph"/>
        <w:numPr>
          <w:ilvl w:val="1"/>
          <w:numId w:val="4"/>
        </w:numPr>
        <w:jc w:val="both"/>
        <w:rPr>
          <w:b/>
        </w:rPr>
      </w:pPr>
      <w:r w:rsidRPr="00D508E7">
        <w:rPr>
          <w:b/>
        </w:rPr>
        <w:t xml:space="preserve">Prospecting </w:t>
      </w:r>
    </w:p>
    <w:p w:rsidR="00B02BEB" w:rsidRDefault="005D54B3" w:rsidP="00D508E7">
      <w:pPr>
        <w:jc w:val="both"/>
      </w:pPr>
      <w:r>
        <w:t xml:space="preserve">Prospecting </w:t>
      </w:r>
      <w:r w:rsidR="00C432E2">
        <w:t>can be defined as “</w:t>
      </w:r>
      <w:r w:rsidR="00C432E2" w:rsidRPr="00E02E85">
        <w:rPr>
          <w:i/>
        </w:rPr>
        <w:t>the process of identifying potential customers and qualifying them to determine if they are valid prospects</w:t>
      </w:r>
      <w:r w:rsidR="00C432E2">
        <w:t xml:space="preserve">”. </w:t>
      </w:r>
      <w:r>
        <w:t xml:space="preserve">The term prospecting comes from geophysics and a person who searches for gold is called a prospector. </w:t>
      </w:r>
      <w:r w:rsidR="00B02BEB">
        <w:t xml:space="preserve">In sales management the term is used in almost similar meanings, but instead of gold here the sales person searches for customers. </w:t>
      </w:r>
    </w:p>
    <w:p w:rsidR="00DD0725" w:rsidRPr="0030310F" w:rsidRDefault="00DD0725" w:rsidP="00D508E7">
      <w:pPr>
        <w:jc w:val="both"/>
      </w:pPr>
      <w:r>
        <w:t xml:space="preserve">Prospecting again can be a frustrating job because of the information search involved and the lack of immediate rewards. </w:t>
      </w:r>
      <w:r w:rsidR="00686070">
        <w:t xml:space="preserve">But research suggests that </w:t>
      </w:r>
      <w:r w:rsidR="00EA6ED9">
        <w:t xml:space="preserve">one of </w:t>
      </w:r>
      <w:r w:rsidR="00686070">
        <w:t xml:space="preserve">the </w:t>
      </w:r>
      <w:r w:rsidR="00EA6ED9">
        <w:t xml:space="preserve">major </w:t>
      </w:r>
      <w:r w:rsidR="00686070">
        <w:t>difference</w:t>
      </w:r>
      <w:r w:rsidR="00EA6ED9">
        <w:t>s</w:t>
      </w:r>
      <w:r w:rsidR="00686070">
        <w:t xml:space="preserve"> between mediocre and extraordinary </w:t>
      </w:r>
      <w:r w:rsidR="00EA6ED9">
        <w:t xml:space="preserve">is their method of prospecting. </w:t>
      </w:r>
      <w:r w:rsidR="00B5431F">
        <w:t xml:space="preserve">The more successful sales persons adopt a more organized and methodical approach to prospecting. </w:t>
      </w:r>
    </w:p>
    <w:p w:rsidR="002F1F82" w:rsidRDefault="00022211" w:rsidP="005D54B3">
      <w:pPr>
        <w:jc w:val="both"/>
      </w:pPr>
      <w:r>
        <w:t xml:space="preserve">For the purpose of prospecting we can categories customers as either </w:t>
      </w:r>
      <w:r w:rsidR="00DF5612" w:rsidRPr="00D56BFB">
        <w:rPr>
          <w:i/>
        </w:rPr>
        <w:t>Lead</w:t>
      </w:r>
      <w:r w:rsidRPr="00D56BFB">
        <w:rPr>
          <w:i/>
        </w:rPr>
        <w:t xml:space="preserve"> </w:t>
      </w:r>
      <w:r w:rsidRPr="00022211">
        <w:rPr>
          <w:i/>
        </w:rPr>
        <w:t>customers</w:t>
      </w:r>
      <w:r>
        <w:t xml:space="preserve">, </w:t>
      </w:r>
      <w:r w:rsidR="00DF5612" w:rsidRPr="00DF5612">
        <w:rPr>
          <w:i/>
        </w:rPr>
        <w:t>Prospect</w:t>
      </w:r>
      <w:r w:rsidRPr="00022211">
        <w:rPr>
          <w:i/>
        </w:rPr>
        <w:t xml:space="preserve"> Customers</w:t>
      </w:r>
      <w:r>
        <w:t xml:space="preserve"> or </w:t>
      </w:r>
      <w:r w:rsidRPr="00022211">
        <w:rPr>
          <w:i/>
        </w:rPr>
        <w:t>Qualified Customers</w:t>
      </w:r>
      <w:r>
        <w:t xml:space="preserve">. </w:t>
      </w:r>
      <w:r w:rsidR="003920B0">
        <w:t>A piece of information that may help a sales person to identify prospect is called a ‘Lead’. Lead Customer has desire or need for the product but doesn’t h</w:t>
      </w:r>
      <w:r w:rsidR="00604CD4">
        <w:t>ave</w:t>
      </w:r>
      <w:r w:rsidR="003920B0">
        <w:t xml:space="preserve"> adequate purchase power to make the purchase decision. </w:t>
      </w:r>
      <w:r w:rsidR="005D54B3">
        <w:t>Prospective Customer,</w:t>
      </w:r>
      <w:r w:rsidR="00F148DF">
        <w:t xml:space="preserve"> in</w:t>
      </w:r>
      <w:r w:rsidR="005D54B3">
        <w:t xml:space="preserve"> sales jargon, is called prospect, which translated into a more classical marketing terminology means Potential Customer. </w:t>
      </w:r>
      <w:r w:rsidR="00754170">
        <w:t xml:space="preserve">Prospects have </w:t>
      </w:r>
      <w:r w:rsidR="00604CD4">
        <w:t>demand</w:t>
      </w:r>
      <w:r w:rsidR="00754170">
        <w:t xml:space="preserve"> for a product and can significantly benefit from the product.</w:t>
      </w:r>
      <w:r w:rsidR="00D56BFB">
        <w:t xml:space="preserve"> The sales person job here is to</w:t>
      </w:r>
      <w:r w:rsidR="00084FD2">
        <w:t xml:space="preserve"> bring them up the AIDA ladder. </w:t>
      </w:r>
      <w:r w:rsidR="009F15E0">
        <w:t xml:space="preserve">A qualified customer has all the money, authority and need for the purchase of a product but needs further </w:t>
      </w:r>
      <w:r w:rsidR="00B66E05">
        <w:t>persuasion</w:t>
      </w:r>
      <w:r w:rsidR="00C03F9D">
        <w:t xml:space="preserve"> about the product delivering the desired level of satisfaction.</w:t>
      </w:r>
      <w:r w:rsidR="002F1F82">
        <w:t xml:space="preserve"> The following table will in understating the difference between the three:</w:t>
      </w:r>
    </w:p>
    <w:tbl>
      <w:tblPr>
        <w:tblStyle w:val="TableGrid"/>
        <w:tblW w:w="0" w:type="auto"/>
        <w:tblInd w:w="378" w:type="dxa"/>
        <w:tblLook w:val="04A0"/>
      </w:tblPr>
      <w:tblGrid>
        <w:gridCol w:w="3240"/>
        <w:gridCol w:w="5400"/>
      </w:tblGrid>
      <w:tr w:rsidR="00F10C80" w:rsidTr="008E2A1A">
        <w:tc>
          <w:tcPr>
            <w:tcW w:w="3240" w:type="dxa"/>
          </w:tcPr>
          <w:p w:rsidR="00F10C80" w:rsidRPr="00F10C80" w:rsidRDefault="00F10C80" w:rsidP="005D54B3">
            <w:pPr>
              <w:jc w:val="both"/>
              <w:rPr>
                <w:b/>
              </w:rPr>
            </w:pPr>
            <w:r>
              <w:rPr>
                <w:b/>
              </w:rPr>
              <w:t>Customer Type</w:t>
            </w:r>
          </w:p>
        </w:tc>
        <w:tc>
          <w:tcPr>
            <w:tcW w:w="5400" w:type="dxa"/>
          </w:tcPr>
          <w:p w:rsidR="00F10C80" w:rsidRPr="00F10C80" w:rsidRDefault="00F10C80" w:rsidP="005D54B3">
            <w:pPr>
              <w:jc w:val="both"/>
              <w:rPr>
                <w:b/>
              </w:rPr>
            </w:pPr>
            <w:r>
              <w:rPr>
                <w:b/>
              </w:rPr>
              <w:t>Characteristics</w:t>
            </w:r>
          </w:p>
        </w:tc>
      </w:tr>
      <w:tr w:rsidR="00F10C80" w:rsidTr="008E2A1A">
        <w:tc>
          <w:tcPr>
            <w:tcW w:w="3240" w:type="dxa"/>
          </w:tcPr>
          <w:p w:rsidR="00F10C80" w:rsidRDefault="00F10C80" w:rsidP="005D54B3">
            <w:pPr>
              <w:jc w:val="both"/>
            </w:pPr>
            <w:r>
              <w:t>Lead Customer</w:t>
            </w:r>
          </w:p>
        </w:tc>
        <w:tc>
          <w:tcPr>
            <w:tcW w:w="5400" w:type="dxa"/>
          </w:tcPr>
          <w:p w:rsidR="00F10C80" w:rsidRDefault="00F10C80" w:rsidP="005D54B3">
            <w:pPr>
              <w:jc w:val="both"/>
            </w:pPr>
            <w:r>
              <w:t>Has Need</w:t>
            </w:r>
          </w:p>
        </w:tc>
      </w:tr>
      <w:tr w:rsidR="00F10C80" w:rsidTr="008E2A1A">
        <w:tc>
          <w:tcPr>
            <w:tcW w:w="3240" w:type="dxa"/>
          </w:tcPr>
          <w:p w:rsidR="00F10C80" w:rsidRDefault="00F10C80" w:rsidP="005D54B3">
            <w:pPr>
              <w:jc w:val="both"/>
            </w:pPr>
            <w:r>
              <w:t>Prospect</w:t>
            </w:r>
          </w:p>
        </w:tc>
        <w:tc>
          <w:tcPr>
            <w:tcW w:w="5400" w:type="dxa"/>
          </w:tcPr>
          <w:p w:rsidR="00F10C80" w:rsidRDefault="00F10C80" w:rsidP="005D54B3">
            <w:pPr>
              <w:jc w:val="both"/>
            </w:pPr>
            <w:r>
              <w:t>Has Demand</w:t>
            </w:r>
          </w:p>
        </w:tc>
      </w:tr>
      <w:tr w:rsidR="00F10C80" w:rsidTr="008E2A1A">
        <w:tc>
          <w:tcPr>
            <w:tcW w:w="3240" w:type="dxa"/>
          </w:tcPr>
          <w:p w:rsidR="00F10C80" w:rsidRDefault="00F10C80" w:rsidP="005D54B3">
            <w:pPr>
              <w:jc w:val="both"/>
            </w:pPr>
            <w:r>
              <w:t>Qualified Prospect (Customer)</w:t>
            </w:r>
          </w:p>
        </w:tc>
        <w:tc>
          <w:tcPr>
            <w:tcW w:w="5400" w:type="dxa"/>
          </w:tcPr>
          <w:p w:rsidR="00F10C80" w:rsidRDefault="00F10C80" w:rsidP="005D54B3">
            <w:pPr>
              <w:jc w:val="both"/>
            </w:pPr>
            <w:r>
              <w:t>Has Money, Authority and Need but needs persuation.</w:t>
            </w:r>
          </w:p>
        </w:tc>
      </w:tr>
    </w:tbl>
    <w:p w:rsidR="005D54B3" w:rsidRDefault="00B66E05" w:rsidP="005D54B3">
      <w:pPr>
        <w:jc w:val="both"/>
      </w:pPr>
      <w:r>
        <w:t xml:space="preserve"> </w:t>
      </w:r>
      <w:r w:rsidR="00D56BFB">
        <w:t xml:space="preserve"> </w:t>
      </w:r>
      <w:r w:rsidR="00754170">
        <w:t xml:space="preserve"> </w:t>
      </w:r>
    </w:p>
    <w:p w:rsidR="003270FE" w:rsidRDefault="00B706F8" w:rsidP="003270FE">
      <w:pPr>
        <w:jc w:val="both"/>
      </w:pPr>
      <w:r>
        <w:t xml:space="preserve">  </w:t>
      </w:r>
    </w:p>
    <w:p w:rsidR="003270FE" w:rsidRDefault="003270FE" w:rsidP="003270FE">
      <w:pPr>
        <w:jc w:val="both"/>
      </w:pPr>
      <w:r>
        <w:br w:type="page"/>
      </w:r>
    </w:p>
    <w:tbl>
      <w:tblPr>
        <w:tblStyle w:val="TableGrid"/>
        <w:tblW w:w="0" w:type="auto"/>
        <w:tblLook w:val="04A0"/>
      </w:tblPr>
      <w:tblGrid>
        <w:gridCol w:w="9576"/>
      </w:tblGrid>
      <w:tr w:rsidR="003270FE" w:rsidTr="003270FE">
        <w:tc>
          <w:tcPr>
            <w:tcW w:w="9576" w:type="dxa"/>
          </w:tcPr>
          <w:p w:rsidR="003270FE" w:rsidRPr="003270FE" w:rsidRDefault="003270FE" w:rsidP="003270FE">
            <w:pPr>
              <w:spacing w:before="100" w:beforeAutospacing="1" w:after="100" w:afterAutospacing="1"/>
              <w:jc w:val="both"/>
              <w:outlineLvl w:val="2"/>
              <w:rPr>
                <w:rFonts w:eastAsia="Times New Roman" w:cs="Times New Roman"/>
                <w:b/>
                <w:bCs/>
              </w:rPr>
            </w:pPr>
            <w:r w:rsidRPr="00A55985">
              <w:rPr>
                <w:rFonts w:eastAsia="Times New Roman" w:cs="Times New Roman"/>
                <w:b/>
                <w:bCs/>
              </w:rPr>
              <w:lastRenderedPageBreak/>
              <w:t>Rules for Any Mode(s) of Transport</w:t>
            </w:r>
          </w:p>
          <w:p w:rsidR="003270FE" w:rsidRPr="003270FE" w:rsidRDefault="003270FE" w:rsidP="003270FE">
            <w:pPr>
              <w:spacing w:before="100" w:beforeAutospacing="1" w:after="100" w:afterAutospacing="1"/>
              <w:jc w:val="both"/>
              <w:rPr>
                <w:rFonts w:eastAsia="Times New Roman" w:cs="Times New Roman"/>
              </w:rPr>
            </w:pPr>
            <w:r w:rsidRPr="003270FE">
              <w:rPr>
                <w:rFonts w:eastAsia="Times New Roman" w:cs="Times New Roman"/>
              </w:rPr>
              <w:t xml:space="preserve">The seven rules defined by </w:t>
            </w:r>
            <w:r w:rsidRPr="003270FE">
              <w:rPr>
                <w:rFonts w:eastAsia="Times New Roman" w:cs="Times New Roman"/>
                <w:i/>
                <w:iCs/>
              </w:rPr>
              <w:t>Incoterms 2010</w:t>
            </w:r>
            <w:r w:rsidRPr="003270FE">
              <w:rPr>
                <w:rFonts w:eastAsia="Times New Roman" w:cs="Times New Roman"/>
              </w:rPr>
              <w:t xml:space="preserve"> for any mode(s) of transportation are:</w:t>
            </w:r>
          </w:p>
          <w:p w:rsidR="003270FE" w:rsidRPr="003270FE" w:rsidRDefault="003270FE" w:rsidP="003270FE">
            <w:pPr>
              <w:jc w:val="both"/>
              <w:rPr>
                <w:rFonts w:eastAsia="Times New Roman" w:cs="Times New Roman"/>
              </w:rPr>
            </w:pPr>
            <w:r w:rsidRPr="003270FE">
              <w:rPr>
                <w:rFonts w:eastAsia="Times New Roman" w:cs="Times New Roman"/>
              </w:rPr>
              <w:t>EXW – Ex Works (named place of delivery)</w:t>
            </w:r>
          </w:p>
          <w:p w:rsidR="003270FE" w:rsidRPr="003270FE" w:rsidRDefault="003270FE" w:rsidP="003270FE">
            <w:pPr>
              <w:ind w:left="720"/>
              <w:jc w:val="both"/>
              <w:rPr>
                <w:rFonts w:eastAsia="Times New Roman" w:cs="Times New Roman"/>
              </w:rPr>
            </w:pPr>
            <w:r w:rsidRPr="003270FE">
              <w:rPr>
                <w:rFonts w:eastAsia="Times New Roman" w:cs="Times New Roman"/>
              </w:rPr>
              <w:t>The seller makes the goods available at its premises. This term places the maximum obligation on the buyer and minimum obligations on the seller. The Ex Works term is often used when making an initial quotation for the sale of goods without any costs included. EXW means that a seller has the goods ready for collection at his premises (works, factory, warehouse, plant) on the date agreed upon. The buyer pays all transportation costs and also bears the risks for bringing the goods to their final destination. The seller doesn't load the goods on collecting vehicles and doesn't clear them for export. If the seller does load the good, he does so at buyer's risk and cost. If parties wish seller to be responsible for the loading of the goods on departure and to bear the risk and all costs of such loading, this must be made clear by adding explicit wording to this effect in the contract of sale.</w:t>
            </w:r>
          </w:p>
          <w:p w:rsidR="003270FE" w:rsidRPr="003270FE" w:rsidRDefault="003270FE" w:rsidP="003270FE">
            <w:pPr>
              <w:jc w:val="both"/>
              <w:rPr>
                <w:rFonts w:eastAsia="Times New Roman" w:cs="Times New Roman"/>
              </w:rPr>
            </w:pPr>
            <w:r w:rsidRPr="003270FE">
              <w:rPr>
                <w:rFonts w:eastAsia="Times New Roman" w:cs="Times New Roman"/>
              </w:rPr>
              <w:t>FCA – Free Carrier (named place of delivery)</w:t>
            </w:r>
          </w:p>
          <w:p w:rsidR="003270FE" w:rsidRPr="003270FE" w:rsidRDefault="003270FE" w:rsidP="003270FE">
            <w:pPr>
              <w:ind w:left="720"/>
              <w:jc w:val="both"/>
              <w:rPr>
                <w:rFonts w:eastAsia="Times New Roman" w:cs="Times New Roman"/>
              </w:rPr>
            </w:pPr>
            <w:r w:rsidRPr="003270FE">
              <w:rPr>
                <w:rFonts w:eastAsia="Times New Roman" w:cs="Times New Roman"/>
              </w:rPr>
              <w:t>The seller hands over the goods, cleared for export, into the disposal of the first carrier (named by the buyer) at the named place. The seller pays for carriage to the named point of delivery, and risk passes when the goods are handed over to the first carrier.</w:t>
            </w:r>
          </w:p>
          <w:p w:rsidR="003270FE" w:rsidRPr="003270FE" w:rsidRDefault="003270FE" w:rsidP="003270FE">
            <w:pPr>
              <w:jc w:val="both"/>
              <w:rPr>
                <w:rFonts w:eastAsia="Times New Roman" w:cs="Times New Roman"/>
              </w:rPr>
            </w:pPr>
            <w:r w:rsidRPr="003270FE">
              <w:rPr>
                <w:rFonts w:eastAsia="Times New Roman" w:cs="Times New Roman"/>
              </w:rPr>
              <w:t>CPT - Carriage Paid To (named place of destination)</w:t>
            </w:r>
          </w:p>
          <w:p w:rsidR="003270FE" w:rsidRPr="003270FE" w:rsidRDefault="003270FE" w:rsidP="003270FE">
            <w:pPr>
              <w:ind w:left="720"/>
              <w:jc w:val="both"/>
              <w:rPr>
                <w:rFonts w:eastAsia="Times New Roman" w:cs="Times New Roman"/>
              </w:rPr>
            </w:pPr>
            <w:r w:rsidRPr="003270FE">
              <w:rPr>
                <w:rFonts w:eastAsia="Times New Roman" w:cs="Times New Roman"/>
              </w:rPr>
              <w:t>The seller pays for carriage. Risk transfers to buyer upon handing goods over to the first carrier.</w:t>
            </w:r>
          </w:p>
          <w:p w:rsidR="003270FE" w:rsidRPr="003270FE" w:rsidRDefault="003270FE" w:rsidP="003270FE">
            <w:pPr>
              <w:jc w:val="both"/>
              <w:rPr>
                <w:rFonts w:eastAsia="Times New Roman" w:cs="Times New Roman"/>
              </w:rPr>
            </w:pPr>
            <w:r w:rsidRPr="003270FE">
              <w:rPr>
                <w:rFonts w:eastAsia="Times New Roman" w:cs="Times New Roman"/>
              </w:rPr>
              <w:t>CIP – Carriage and Insurance Paid to (named place of destination)</w:t>
            </w:r>
          </w:p>
          <w:p w:rsidR="003270FE" w:rsidRPr="003270FE" w:rsidRDefault="003270FE" w:rsidP="003270FE">
            <w:pPr>
              <w:ind w:left="720"/>
              <w:jc w:val="both"/>
              <w:rPr>
                <w:rFonts w:eastAsia="Times New Roman" w:cs="Times New Roman"/>
              </w:rPr>
            </w:pPr>
            <w:r w:rsidRPr="003270FE">
              <w:rPr>
                <w:rFonts w:eastAsia="Times New Roman" w:cs="Times New Roman"/>
              </w:rPr>
              <w:t>The containerized transport/multimodal equivalent of CIF. Seller pays for carriage and insurance to the named destination point, but risk passes when the goods are handed over to the first carrier.</w:t>
            </w:r>
          </w:p>
          <w:p w:rsidR="003270FE" w:rsidRPr="003270FE" w:rsidRDefault="003270FE" w:rsidP="003270FE">
            <w:pPr>
              <w:jc w:val="both"/>
              <w:rPr>
                <w:rFonts w:eastAsia="Times New Roman" w:cs="Times New Roman"/>
              </w:rPr>
            </w:pPr>
            <w:r w:rsidRPr="003270FE">
              <w:rPr>
                <w:rFonts w:eastAsia="Times New Roman" w:cs="Times New Roman"/>
              </w:rPr>
              <w:t>DAT – Delivered at Terminal (named terminal at port or place of destination)</w:t>
            </w:r>
          </w:p>
          <w:p w:rsidR="003270FE" w:rsidRPr="003270FE" w:rsidRDefault="003270FE" w:rsidP="003270FE">
            <w:pPr>
              <w:ind w:left="720"/>
              <w:jc w:val="both"/>
              <w:rPr>
                <w:rFonts w:eastAsia="Times New Roman" w:cs="Times New Roman"/>
              </w:rPr>
            </w:pPr>
            <w:r w:rsidRPr="003270FE">
              <w:rPr>
                <w:rFonts w:eastAsia="Times New Roman" w:cs="Times New Roman"/>
              </w:rPr>
              <w:t>Seller pays for carriage to the terminal, except for costs related to import clearance, and assumes all risks up to the point that the goods are unloaded at the terminal.</w:t>
            </w:r>
          </w:p>
          <w:p w:rsidR="003270FE" w:rsidRPr="003270FE" w:rsidRDefault="003270FE" w:rsidP="003270FE">
            <w:pPr>
              <w:jc w:val="both"/>
              <w:rPr>
                <w:rFonts w:eastAsia="Times New Roman" w:cs="Times New Roman"/>
              </w:rPr>
            </w:pPr>
            <w:r w:rsidRPr="003270FE">
              <w:rPr>
                <w:rFonts w:eastAsia="Times New Roman" w:cs="Times New Roman"/>
              </w:rPr>
              <w:t>DAP – Delivered at Place (named place of destination)</w:t>
            </w:r>
          </w:p>
          <w:p w:rsidR="003270FE" w:rsidRPr="003270FE" w:rsidRDefault="003270FE" w:rsidP="003270FE">
            <w:pPr>
              <w:ind w:left="720"/>
              <w:jc w:val="both"/>
              <w:rPr>
                <w:rFonts w:eastAsia="Times New Roman" w:cs="Times New Roman"/>
              </w:rPr>
            </w:pPr>
            <w:r w:rsidRPr="003270FE">
              <w:rPr>
                <w:rFonts w:eastAsia="Times New Roman" w:cs="Times New Roman"/>
              </w:rPr>
              <w:t>Seller pays for carriage to the named place, except for costs related to import clearance, and assumes all risks prior to the point that the goods are ready for unloading by the buyer.</w:t>
            </w:r>
          </w:p>
          <w:p w:rsidR="003270FE" w:rsidRPr="003270FE" w:rsidRDefault="003270FE" w:rsidP="003270FE">
            <w:pPr>
              <w:jc w:val="both"/>
              <w:rPr>
                <w:rFonts w:eastAsia="Times New Roman" w:cs="Times New Roman"/>
              </w:rPr>
            </w:pPr>
            <w:r w:rsidRPr="003270FE">
              <w:rPr>
                <w:rFonts w:eastAsia="Times New Roman" w:cs="Times New Roman"/>
              </w:rPr>
              <w:t>DDP – Delivered Duty Paid (named place of destination)</w:t>
            </w:r>
          </w:p>
          <w:p w:rsidR="003270FE" w:rsidRPr="003270FE" w:rsidRDefault="003270FE" w:rsidP="003270FE">
            <w:pPr>
              <w:ind w:left="720"/>
              <w:jc w:val="both"/>
              <w:rPr>
                <w:rFonts w:eastAsia="Times New Roman" w:cs="Times New Roman"/>
              </w:rPr>
            </w:pPr>
            <w:r w:rsidRPr="003270FE">
              <w:rPr>
                <w:rFonts w:eastAsia="Times New Roman" w:cs="Times New Roman"/>
              </w:rPr>
              <w:t>Seller is responsible for delivering the goods to the named place in the country of the buyer, and pays all costs in bringing the goods to the destination including import duties and taxes. This term places the maximum obligations on the seller and minimum obligations on the buyer.</w:t>
            </w:r>
          </w:p>
          <w:p w:rsidR="003270FE" w:rsidRPr="003270FE" w:rsidRDefault="003270FE" w:rsidP="003270FE">
            <w:pPr>
              <w:spacing w:before="100" w:beforeAutospacing="1" w:after="100" w:afterAutospacing="1"/>
              <w:jc w:val="both"/>
              <w:outlineLvl w:val="2"/>
              <w:rPr>
                <w:rFonts w:eastAsia="Times New Roman" w:cs="Times New Roman"/>
                <w:b/>
                <w:bCs/>
              </w:rPr>
            </w:pPr>
            <w:r w:rsidRPr="00A55985">
              <w:rPr>
                <w:rFonts w:eastAsia="Times New Roman" w:cs="Times New Roman"/>
                <w:b/>
                <w:bCs/>
              </w:rPr>
              <w:t>Rules for Sea and Inland Waterway Transport</w:t>
            </w:r>
          </w:p>
          <w:p w:rsidR="003270FE" w:rsidRPr="003270FE" w:rsidRDefault="003270FE" w:rsidP="003270FE">
            <w:pPr>
              <w:spacing w:before="100" w:beforeAutospacing="1" w:after="100" w:afterAutospacing="1"/>
              <w:jc w:val="both"/>
              <w:rPr>
                <w:rFonts w:eastAsia="Times New Roman" w:cs="Times New Roman"/>
              </w:rPr>
            </w:pPr>
            <w:r w:rsidRPr="003270FE">
              <w:rPr>
                <w:rFonts w:eastAsia="Times New Roman" w:cs="Times New Roman"/>
              </w:rPr>
              <w:t>The four rules defined by Incoterms 2010 for international trade where transportation is entirely conducted by water are:</w:t>
            </w:r>
          </w:p>
          <w:p w:rsidR="003270FE" w:rsidRPr="003270FE" w:rsidRDefault="003270FE" w:rsidP="003270FE">
            <w:pPr>
              <w:jc w:val="both"/>
              <w:rPr>
                <w:rFonts w:eastAsia="Times New Roman" w:cs="Times New Roman"/>
              </w:rPr>
            </w:pPr>
            <w:r w:rsidRPr="003270FE">
              <w:rPr>
                <w:rFonts w:eastAsia="Times New Roman" w:cs="Times New Roman"/>
              </w:rPr>
              <w:t>FAS – Free Alongside Ship (named port of shipment)</w:t>
            </w:r>
          </w:p>
          <w:p w:rsidR="003270FE" w:rsidRPr="003270FE" w:rsidRDefault="003270FE" w:rsidP="003270FE">
            <w:pPr>
              <w:ind w:left="720"/>
              <w:jc w:val="both"/>
              <w:rPr>
                <w:rFonts w:eastAsia="Times New Roman" w:cs="Times New Roman"/>
              </w:rPr>
            </w:pPr>
            <w:r w:rsidRPr="003270FE">
              <w:rPr>
                <w:rFonts w:eastAsia="Times New Roman" w:cs="Times New Roman"/>
              </w:rPr>
              <w:t xml:space="preserve">The seller must place the goods alongside the ship at the named port. The seller must clear the goods for export. Suitable only for maritime transport but </w:t>
            </w:r>
            <w:r w:rsidRPr="003270FE">
              <w:rPr>
                <w:rFonts w:eastAsia="Times New Roman" w:cs="Times New Roman"/>
                <w:b/>
                <w:bCs/>
              </w:rPr>
              <w:t>NOT</w:t>
            </w:r>
            <w:r w:rsidRPr="003270FE">
              <w:rPr>
                <w:rFonts w:eastAsia="Times New Roman" w:cs="Times New Roman"/>
              </w:rPr>
              <w:t xml:space="preserve"> for multimodal sea transport in containers (see </w:t>
            </w:r>
            <w:r w:rsidRPr="003270FE">
              <w:rPr>
                <w:rFonts w:eastAsia="Times New Roman" w:cs="Times New Roman"/>
                <w:i/>
                <w:iCs/>
              </w:rPr>
              <w:t>Incoterms 2010</w:t>
            </w:r>
            <w:r w:rsidRPr="003270FE">
              <w:rPr>
                <w:rFonts w:eastAsia="Times New Roman" w:cs="Times New Roman"/>
              </w:rPr>
              <w:t>, ICC publication 715). This term is typically used for heavy-lift or bulk cargo.</w:t>
            </w:r>
          </w:p>
          <w:p w:rsidR="003270FE" w:rsidRPr="003270FE" w:rsidRDefault="003270FE" w:rsidP="003270FE">
            <w:pPr>
              <w:jc w:val="both"/>
              <w:rPr>
                <w:rFonts w:eastAsia="Times New Roman" w:cs="Times New Roman"/>
              </w:rPr>
            </w:pPr>
            <w:r w:rsidRPr="003270FE">
              <w:rPr>
                <w:rFonts w:eastAsia="Times New Roman" w:cs="Times New Roman"/>
              </w:rPr>
              <w:t xml:space="preserve">FOB – </w:t>
            </w:r>
            <w:r w:rsidRPr="0020295B">
              <w:rPr>
                <w:rFonts w:eastAsia="Times New Roman" w:cs="Times New Roman"/>
              </w:rPr>
              <w:t>Free on Board</w:t>
            </w:r>
            <w:r w:rsidRPr="003270FE">
              <w:rPr>
                <w:rFonts w:eastAsia="Times New Roman" w:cs="Times New Roman"/>
              </w:rPr>
              <w:t xml:space="preserve"> (named port of shipment)</w:t>
            </w:r>
          </w:p>
          <w:p w:rsidR="003270FE" w:rsidRPr="003270FE" w:rsidRDefault="003270FE" w:rsidP="003270FE">
            <w:pPr>
              <w:ind w:left="720"/>
              <w:jc w:val="both"/>
              <w:rPr>
                <w:rFonts w:eastAsia="Times New Roman" w:cs="Times New Roman"/>
              </w:rPr>
            </w:pPr>
            <w:r w:rsidRPr="003270FE">
              <w:rPr>
                <w:rFonts w:eastAsia="Times New Roman" w:cs="Times New Roman"/>
              </w:rPr>
              <w:lastRenderedPageBreak/>
              <w:t xml:space="preserve">The seller must load themselves the goods on board the vessel nominated by the buyer. Cost and risk are divided when the goods are actually on board of the vessel (this rule is new!). The seller must clear the goods for export. The term is applicable for maritime and inland waterway transport only but </w:t>
            </w:r>
            <w:r w:rsidRPr="003270FE">
              <w:rPr>
                <w:rFonts w:eastAsia="Times New Roman" w:cs="Times New Roman"/>
                <w:b/>
                <w:bCs/>
              </w:rPr>
              <w:t>NOT</w:t>
            </w:r>
            <w:r w:rsidRPr="003270FE">
              <w:rPr>
                <w:rFonts w:eastAsia="Times New Roman" w:cs="Times New Roman"/>
              </w:rPr>
              <w:t xml:space="preserve"> for multimodal sea transport in containers. The buyer must instruct the seller the details of the vessel and the port where the goods are to be loaded, and there is no reference to, or provision for, the use of a carrier or forwarder. This term has been greatly misused over the last three decades ever since </w:t>
            </w:r>
            <w:r w:rsidRPr="003270FE">
              <w:rPr>
                <w:rFonts w:eastAsia="Times New Roman" w:cs="Times New Roman"/>
                <w:i/>
                <w:iCs/>
              </w:rPr>
              <w:t>Incoterms 1980</w:t>
            </w:r>
            <w:r w:rsidRPr="003270FE">
              <w:rPr>
                <w:rFonts w:eastAsia="Times New Roman" w:cs="Times New Roman"/>
              </w:rPr>
              <w:t xml:space="preserve"> explained that FCA should be used for container shipments.</w:t>
            </w:r>
          </w:p>
          <w:p w:rsidR="003270FE" w:rsidRPr="003270FE" w:rsidRDefault="003270FE" w:rsidP="003270FE">
            <w:pPr>
              <w:jc w:val="both"/>
              <w:rPr>
                <w:rFonts w:eastAsia="Times New Roman" w:cs="Times New Roman"/>
              </w:rPr>
            </w:pPr>
            <w:r w:rsidRPr="003270FE">
              <w:rPr>
                <w:rFonts w:eastAsia="Times New Roman" w:cs="Times New Roman"/>
              </w:rPr>
              <w:t>CFR – Cost and Freight (named port of destination)</w:t>
            </w:r>
          </w:p>
          <w:p w:rsidR="003270FE" w:rsidRPr="003270FE" w:rsidRDefault="003270FE" w:rsidP="003270FE">
            <w:pPr>
              <w:ind w:left="720"/>
              <w:jc w:val="both"/>
              <w:rPr>
                <w:rFonts w:eastAsia="Times New Roman" w:cs="Times New Roman"/>
              </w:rPr>
            </w:pPr>
            <w:r w:rsidRPr="003270FE">
              <w:rPr>
                <w:rFonts w:eastAsia="Times New Roman" w:cs="Times New Roman"/>
              </w:rPr>
              <w:t xml:space="preserve">Seller must pay the costs and freight to bring the goods to the port of destination. However, risk is transferred to the buyer once the goods are loaded on the vessel (this rule is new!). Maritime transport only and Insurance for the goods is </w:t>
            </w:r>
            <w:r w:rsidRPr="003270FE">
              <w:rPr>
                <w:rFonts w:eastAsia="Times New Roman" w:cs="Times New Roman"/>
                <w:b/>
                <w:bCs/>
              </w:rPr>
              <w:t>NOT</w:t>
            </w:r>
            <w:r w:rsidRPr="003270FE">
              <w:rPr>
                <w:rFonts w:eastAsia="Times New Roman" w:cs="Times New Roman"/>
              </w:rPr>
              <w:t xml:space="preserve"> included. This term is formerly known as CNF (C&amp;F).</w:t>
            </w:r>
          </w:p>
          <w:p w:rsidR="003270FE" w:rsidRPr="003270FE" w:rsidRDefault="003270FE" w:rsidP="003270FE">
            <w:pPr>
              <w:jc w:val="both"/>
              <w:rPr>
                <w:rFonts w:eastAsia="Times New Roman" w:cs="Times New Roman"/>
              </w:rPr>
            </w:pPr>
            <w:r w:rsidRPr="003270FE">
              <w:rPr>
                <w:rFonts w:eastAsia="Times New Roman" w:cs="Times New Roman"/>
              </w:rPr>
              <w:t>CIF – Cost, Insurance and Freight (named port of destination)</w:t>
            </w:r>
          </w:p>
          <w:p w:rsidR="003270FE" w:rsidRPr="003270FE" w:rsidRDefault="003270FE" w:rsidP="003270FE">
            <w:pPr>
              <w:ind w:left="720"/>
              <w:jc w:val="both"/>
              <w:rPr>
                <w:rFonts w:eastAsia="Times New Roman" w:cs="Times New Roman"/>
              </w:rPr>
            </w:pPr>
            <w:r w:rsidRPr="003270FE">
              <w:rPr>
                <w:rFonts w:eastAsia="Times New Roman" w:cs="Times New Roman"/>
              </w:rPr>
              <w:t>Exactly the same as CFR except that the seller must in addition procure and pay for the insurance. Maritime transport only.</w:t>
            </w:r>
          </w:p>
          <w:p w:rsidR="003270FE" w:rsidRDefault="00BD73AA" w:rsidP="003270FE">
            <w:pPr>
              <w:jc w:val="both"/>
            </w:pPr>
            <w:r>
              <w:t>There are other terms not given in Incoterms but used in Selling Process:</w:t>
            </w:r>
          </w:p>
          <w:p w:rsidR="00BD73AA" w:rsidRDefault="00BD73AA" w:rsidP="003270FE">
            <w:pPr>
              <w:jc w:val="both"/>
            </w:pPr>
            <w:r>
              <w:t>COD</w:t>
            </w:r>
            <w:r w:rsidR="00E8099F">
              <w:t xml:space="preserve"> - </w:t>
            </w:r>
            <w:r>
              <w:t>Cash On Delivery</w:t>
            </w:r>
            <w:r w:rsidR="00E8099F">
              <w:t xml:space="preserve"> </w:t>
            </w:r>
          </w:p>
          <w:p w:rsidR="00BD73AA" w:rsidRDefault="00BD73AA" w:rsidP="003270FE">
            <w:pPr>
              <w:jc w:val="both"/>
            </w:pPr>
            <w:r>
              <w:t>CBD</w:t>
            </w:r>
            <w:r w:rsidR="00E8099F">
              <w:t xml:space="preserve"> - </w:t>
            </w:r>
            <w:r>
              <w:t>Cash Before Delivery</w:t>
            </w:r>
            <w:r w:rsidR="00E8099F">
              <w:t xml:space="preserve"> </w:t>
            </w:r>
            <w:r>
              <w:t xml:space="preserve"> </w:t>
            </w:r>
          </w:p>
          <w:p w:rsidR="00BD73AA" w:rsidRDefault="004F1006" w:rsidP="00E8099F">
            <w:pPr>
              <w:jc w:val="both"/>
            </w:pPr>
            <w:r>
              <w:t>C</w:t>
            </w:r>
            <w:r w:rsidR="0050699D">
              <w:t>WD</w:t>
            </w:r>
            <w:r w:rsidR="00E8099F">
              <w:t xml:space="preserve"> -</w:t>
            </w:r>
            <w:r w:rsidR="0050699D">
              <w:t xml:space="preserve"> Cash With Delivery </w:t>
            </w:r>
          </w:p>
        </w:tc>
      </w:tr>
    </w:tbl>
    <w:p w:rsidR="009D4937" w:rsidRDefault="009D4937" w:rsidP="003270FE">
      <w:pPr>
        <w:jc w:val="both"/>
      </w:pPr>
    </w:p>
    <w:sectPr w:rsidR="009D4937" w:rsidSect="00DB547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B78" w:rsidRDefault="005B7B78" w:rsidP="002E33E0">
      <w:pPr>
        <w:spacing w:after="0" w:line="240" w:lineRule="auto"/>
      </w:pPr>
      <w:r>
        <w:separator/>
      </w:r>
    </w:p>
  </w:endnote>
  <w:endnote w:type="continuationSeparator" w:id="1">
    <w:p w:rsidR="005B7B78" w:rsidRDefault="005B7B78" w:rsidP="002E3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055768"/>
      <w:docPartObj>
        <w:docPartGallery w:val="Page Numbers (Bottom of Page)"/>
        <w:docPartUnique/>
      </w:docPartObj>
    </w:sdtPr>
    <w:sdtEndPr>
      <w:rPr>
        <w:color w:val="7F7F7F" w:themeColor="background1" w:themeShade="7F"/>
        <w:spacing w:val="60"/>
      </w:rPr>
    </w:sdtEndPr>
    <w:sdtContent>
      <w:p w:rsidR="004D7A05" w:rsidRDefault="004D7A05">
        <w:pPr>
          <w:pStyle w:val="Footer"/>
          <w:pBdr>
            <w:top w:val="single" w:sz="4" w:space="1" w:color="D9D9D9" w:themeColor="background1" w:themeShade="D9"/>
          </w:pBdr>
          <w:jc w:val="right"/>
        </w:pPr>
        <w:fldSimple w:instr=" PAGE   \* MERGEFORMAT ">
          <w:r w:rsidR="008E2A1A">
            <w:rPr>
              <w:noProof/>
            </w:rPr>
            <w:t>3</w:t>
          </w:r>
        </w:fldSimple>
        <w:r>
          <w:t xml:space="preserve"> | </w:t>
        </w:r>
        <w:r>
          <w:rPr>
            <w:color w:val="7F7F7F" w:themeColor="background1" w:themeShade="7F"/>
            <w:spacing w:val="60"/>
          </w:rPr>
          <w:t>Page</w:t>
        </w:r>
      </w:p>
    </w:sdtContent>
  </w:sdt>
  <w:p w:rsidR="004D7A05" w:rsidRDefault="004D7A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B78" w:rsidRDefault="005B7B78" w:rsidP="002E33E0">
      <w:pPr>
        <w:spacing w:after="0" w:line="240" w:lineRule="auto"/>
      </w:pPr>
      <w:r>
        <w:separator/>
      </w:r>
    </w:p>
  </w:footnote>
  <w:footnote w:type="continuationSeparator" w:id="1">
    <w:p w:rsidR="005B7B78" w:rsidRDefault="005B7B78" w:rsidP="002E3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05" w:rsidRDefault="004D7A05" w:rsidP="002E33E0">
    <w:pPr>
      <w:pStyle w:val="Footer"/>
      <w:jc w:val="center"/>
    </w:pPr>
    <w:r>
      <w:t xml:space="preserve">Sales Management </w:t>
    </w:r>
  </w:p>
  <w:p w:rsidR="004D7A05" w:rsidRDefault="004D7A05" w:rsidP="002E33E0">
    <w:pPr>
      <w:pStyle w:val="Footer"/>
      <w:jc w:val="center"/>
    </w:pPr>
    <w:r>
      <w:t>BBA (Hons.) 7</w:t>
    </w:r>
    <w:r w:rsidRPr="002E33E0">
      <w:rPr>
        <w:vertAlign w:val="superscript"/>
      </w:rPr>
      <w:t>th</w:t>
    </w:r>
    <w:r>
      <w:t xml:space="preserve"> Semester</w:t>
    </w:r>
  </w:p>
  <w:p w:rsidR="004D7A05" w:rsidRDefault="004D7A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7574"/>
    <w:multiLevelType w:val="hybridMultilevel"/>
    <w:tmpl w:val="6C0802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7A13C7"/>
    <w:multiLevelType w:val="multilevel"/>
    <w:tmpl w:val="EA3C9D1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nsid w:val="44802B0D"/>
    <w:multiLevelType w:val="hybridMultilevel"/>
    <w:tmpl w:val="AB72A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6F7488"/>
    <w:multiLevelType w:val="hybridMultilevel"/>
    <w:tmpl w:val="9616459C"/>
    <w:lvl w:ilvl="0" w:tplc="354C24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F9628D"/>
    <w:rsid w:val="00003335"/>
    <w:rsid w:val="00022211"/>
    <w:rsid w:val="00084FD2"/>
    <w:rsid w:val="00117254"/>
    <w:rsid w:val="001720EA"/>
    <w:rsid w:val="001D5463"/>
    <w:rsid w:val="0020295B"/>
    <w:rsid w:val="002129D4"/>
    <w:rsid w:val="00236508"/>
    <w:rsid w:val="00261D23"/>
    <w:rsid w:val="002910D1"/>
    <w:rsid w:val="002E33E0"/>
    <w:rsid w:val="002F0D6B"/>
    <w:rsid w:val="002F1F82"/>
    <w:rsid w:val="0030310F"/>
    <w:rsid w:val="003270FE"/>
    <w:rsid w:val="003920B0"/>
    <w:rsid w:val="00393EE5"/>
    <w:rsid w:val="003E1DB9"/>
    <w:rsid w:val="004448AF"/>
    <w:rsid w:val="004D7A05"/>
    <w:rsid w:val="004F1006"/>
    <w:rsid w:val="0050699D"/>
    <w:rsid w:val="0058288E"/>
    <w:rsid w:val="005A0CFC"/>
    <w:rsid w:val="005B7B78"/>
    <w:rsid w:val="005D54B3"/>
    <w:rsid w:val="00604CD4"/>
    <w:rsid w:val="00686070"/>
    <w:rsid w:val="006B3FB4"/>
    <w:rsid w:val="006E6780"/>
    <w:rsid w:val="006E6960"/>
    <w:rsid w:val="00704157"/>
    <w:rsid w:val="00714891"/>
    <w:rsid w:val="00736C6E"/>
    <w:rsid w:val="00753CAF"/>
    <w:rsid w:val="00754170"/>
    <w:rsid w:val="007905DC"/>
    <w:rsid w:val="007F3187"/>
    <w:rsid w:val="00807E07"/>
    <w:rsid w:val="00825D31"/>
    <w:rsid w:val="00842A8D"/>
    <w:rsid w:val="00880D56"/>
    <w:rsid w:val="00887E3D"/>
    <w:rsid w:val="0089297F"/>
    <w:rsid w:val="008E0E62"/>
    <w:rsid w:val="008E2A1A"/>
    <w:rsid w:val="008E5521"/>
    <w:rsid w:val="00931FD6"/>
    <w:rsid w:val="00933EFF"/>
    <w:rsid w:val="00940732"/>
    <w:rsid w:val="009744CA"/>
    <w:rsid w:val="009C4454"/>
    <w:rsid w:val="009C70B4"/>
    <w:rsid w:val="009D4937"/>
    <w:rsid w:val="009F15E0"/>
    <w:rsid w:val="00A55985"/>
    <w:rsid w:val="00AC1EB5"/>
    <w:rsid w:val="00B02BEB"/>
    <w:rsid w:val="00B325F0"/>
    <w:rsid w:val="00B51103"/>
    <w:rsid w:val="00B5431F"/>
    <w:rsid w:val="00B5782B"/>
    <w:rsid w:val="00B66E05"/>
    <w:rsid w:val="00B706F8"/>
    <w:rsid w:val="00B80645"/>
    <w:rsid w:val="00BC279C"/>
    <w:rsid w:val="00BD73AA"/>
    <w:rsid w:val="00BE27F4"/>
    <w:rsid w:val="00BF6595"/>
    <w:rsid w:val="00C03F9D"/>
    <w:rsid w:val="00C24358"/>
    <w:rsid w:val="00C432E2"/>
    <w:rsid w:val="00C45B13"/>
    <w:rsid w:val="00CC17A3"/>
    <w:rsid w:val="00D01E18"/>
    <w:rsid w:val="00D508E7"/>
    <w:rsid w:val="00D56BFB"/>
    <w:rsid w:val="00D627E6"/>
    <w:rsid w:val="00D86FC4"/>
    <w:rsid w:val="00D92172"/>
    <w:rsid w:val="00DA59FD"/>
    <w:rsid w:val="00DB547F"/>
    <w:rsid w:val="00DD0725"/>
    <w:rsid w:val="00DF5612"/>
    <w:rsid w:val="00E02E85"/>
    <w:rsid w:val="00E336FA"/>
    <w:rsid w:val="00E57A6A"/>
    <w:rsid w:val="00E8099F"/>
    <w:rsid w:val="00E86322"/>
    <w:rsid w:val="00EA6ED9"/>
    <w:rsid w:val="00EB34B1"/>
    <w:rsid w:val="00F10C80"/>
    <w:rsid w:val="00F148DF"/>
    <w:rsid w:val="00F15A4F"/>
    <w:rsid w:val="00F54324"/>
    <w:rsid w:val="00F6263A"/>
    <w:rsid w:val="00F67ABC"/>
    <w:rsid w:val="00F9628D"/>
    <w:rsid w:val="00FA32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7F"/>
  </w:style>
  <w:style w:type="paragraph" w:styleId="Heading3">
    <w:name w:val="heading 3"/>
    <w:basedOn w:val="Normal"/>
    <w:link w:val="Heading3Char"/>
    <w:uiPriority w:val="9"/>
    <w:qFormat/>
    <w:rsid w:val="003270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54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Shading2">
    <w:name w:val="Medium Shading 2"/>
    <w:basedOn w:val="TableNormal"/>
    <w:uiPriority w:val="64"/>
    <w:rsid w:val="00D86FC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D86FC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Paragraph">
    <w:name w:val="List Paragraph"/>
    <w:basedOn w:val="Normal"/>
    <w:uiPriority w:val="34"/>
    <w:qFormat/>
    <w:rsid w:val="00F67ABC"/>
    <w:pPr>
      <w:ind w:left="720"/>
      <w:contextualSpacing/>
    </w:pPr>
  </w:style>
  <w:style w:type="paragraph" w:styleId="Header">
    <w:name w:val="header"/>
    <w:basedOn w:val="Normal"/>
    <w:link w:val="HeaderChar"/>
    <w:uiPriority w:val="99"/>
    <w:semiHidden/>
    <w:unhideWhenUsed/>
    <w:rsid w:val="002E33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33E0"/>
  </w:style>
  <w:style w:type="paragraph" w:styleId="Footer">
    <w:name w:val="footer"/>
    <w:basedOn w:val="Normal"/>
    <w:link w:val="FooterChar"/>
    <w:uiPriority w:val="99"/>
    <w:unhideWhenUsed/>
    <w:rsid w:val="002E3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3E0"/>
  </w:style>
  <w:style w:type="character" w:customStyle="1" w:styleId="Heading3Char">
    <w:name w:val="Heading 3 Char"/>
    <w:basedOn w:val="DefaultParagraphFont"/>
    <w:link w:val="Heading3"/>
    <w:uiPriority w:val="9"/>
    <w:rsid w:val="003270FE"/>
    <w:rPr>
      <w:rFonts w:ascii="Times New Roman" w:eastAsia="Times New Roman" w:hAnsi="Times New Roman" w:cs="Times New Roman"/>
      <w:b/>
      <w:bCs/>
      <w:sz w:val="27"/>
      <w:szCs w:val="27"/>
    </w:rPr>
  </w:style>
  <w:style w:type="character" w:customStyle="1" w:styleId="mw-headline">
    <w:name w:val="mw-headline"/>
    <w:basedOn w:val="DefaultParagraphFont"/>
    <w:rsid w:val="003270FE"/>
  </w:style>
  <w:style w:type="paragraph" w:styleId="NormalWeb">
    <w:name w:val="Normal (Web)"/>
    <w:basedOn w:val="Normal"/>
    <w:uiPriority w:val="99"/>
    <w:semiHidden/>
    <w:unhideWhenUsed/>
    <w:rsid w:val="003270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ditsection">
    <w:name w:val="editsection"/>
    <w:basedOn w:val="DefaultParagraphFont"/>
    <w:rsid w:val="003270FE"/>
  </w:style>
  <w:style w:type="character" w:styleId="Hyperlink">
    <w:name w:val="Hyperlink"/>
    <w:basedOn w:val="DefaultParagraphFont"/>
    <w:uiPriority w:val="99"/>
    <w:semiHidden/>
    <w:unhideWhenUsed/>
    <w:rsid w:val="003270FE"/>
    <w:rPr>
      <w:color w:val="0000FF"/>
      <w:u w:val="single"/>
    </w:rPr>
  </w:style>
</w:styles>
</file>

<file path=word/webSettings.xml><?xml version="1.0" encoding="utf-8"?>
<w:webSettings xmlns:r="http://schemas.openxmlformats.org/officeDocument/2006/relationships" xmlns:w="http://schemas.openxmlformats.org/wordprocessingml/2006/main">
  <w:divs>
    <w:div w:id="97039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3C93B-C812-4BAE-AACC-0B1D07C0A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43508</TotalTime>
  <Pages>5</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UoP</Company>
  <LinksUpToDate>false</LinksUpToDate>
  <CharactersWithSpaces>12742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K</cp:lastModifiedBy>
  <cp:revision>96</cp:revision>
  <dcterms:created xsi:type="dcterms:W3CDTF">2011-11-29T17:27:00Z</dcterms:created>
  <dcterms:modified xsi:type="dcterms:W3CDTF">2011-12-29T22:52:00Z</dcterms:modified>
</cp:coreProperties>
</file>